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организации</w:t>
            </w:r>
          </w:p>
        </w:tc>
      </w:tr>
    </w:tbl>
    <w:r>
      <w:rPr>
        <w:b/>
        <w:bCs/>
        <w:color w:val="222222"/>
        <w:sz w:val="33"/>
        <w:szCs w:val="33"/>
      </w:rPr>
      <w:t xml:space="preserve">ВАХТЕННЫЙ ЖУРНАЛ КРАНОВЩИКА </w:t>
    </w:r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Начат </w:t>
      </w:r>
      <w:r>
        <w:rPr>
          <w:rFonts w:asciiTheme="minorHAnsi" w:hAnsiTheme="minorHAnsi" w:eastAsiaTheme="minorHAnsi" w:cstheme="minorBidi"/>
          <w:color w:val="000000"/>
          <w:sz w:val="24"/>
          <w:szCs w:val="24"/>
        </w:rPr>
        <w:t>08 февраля 2024 года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Окончен  «  »_______ 20   года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08.02.2024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Крановщик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осмотра крана: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узла,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механизма, детали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Результаты проверки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инициалы и должность работника, устранившего неисправность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Металлоконструкции: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Тормоза: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грузовой лебедки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стреловой лебедки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механизм передвижения тележки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механизм передвижения крана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Приборы и устройства безопасности: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ограничитель грузоподъемности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концевые выключатели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блокировочные канаты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указатели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сигнализаторы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Электрооборудование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электромонтёр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Канаты: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грузовой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стреловой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оттяжки стрелы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тележечный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Крюковая подвеска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Освещение, отопление, кондиционер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Рельсовый путь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Противовес, балласт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Заземление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Прочие замечания, выявленные при работе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Смену принял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 крановщика)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Смену сдал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(указать состояние крана)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 крановщика)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осмотра крана специалистами: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слесарем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электромонтёром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</w:tr>
    </w:tbl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4332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ИТР, ответственный за содержание ПС в исправном состоянии: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4332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8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b7e4288f29b4ce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